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60" w:type="dxa"/>
        <w:jc w:val="center"/>
        <w:tblLook w:val="04A0" w:firstRow="1" w:lastRow="0" w:firstColumn="1" w:lastColumn="0" w:noHBand="0" w:noVBand="1"/>
      </w:tblPr>
      <w:tblGrid>
        <w:gridCol w:w="4480"/>
        <w:gridCol w:w="4480"/>
      </w:tblGrid>
      <w:tr w:rsidR="000D1330" w:rsidRPr="00D10138" w:rsidTr="000D1330">
        <w:trPr>
          <w:trHeight w:val="557"/>
          <w:jc w:val="center"/>
        </w:trPr>
        <w:tc>
          <w:tcPr>
            <w:tcW w:w="4480" w:type="dxa"/>
            <w:vAlign w:val="center"/>
          </w:tcPr>
          <w:p w:rsidR="00D10138" w:rsidRDefault="000D1330" w:rsidP="000D133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bookmarkStart w:id="0" w:name="_GoBack"/>
            <w:bookmarkEnd w:id="0"/>
            <w:r w:rsidRPr="00D10138">
              <w:rPr>
                <w:rFonts w:ascii="Georgia" w:hAnsi="Georgia"/>
                <w:b/>
                <w:sz w:val="26"/>
                <w:szCs w:val="26"/>
              </w:rPr>
              <w:t xml:space="preserve">Health &amp; Aging after TBI </w:t>
            </w:r>
          </w:p>
          <w:p w:rsidR="000D1330" w:rsidRPr="00D10138" w:rsidRDefault="000D1330" w:rsidP="000D133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0138">
              <w:rPr>
                <w:rFonts w:ascii="Georgia" w:hAnsi="Georgia"/>
                <w:i/>
                <w:szCs w:val="26"/>
              </w:rPr>
              <w:t>(CDC funded)</w:t>
            </w:r>
          </w:p>
        </w:tc>
        <w:tc>
          <w:tcPr>
            <w:tcW w:w="4480" w:type="dxa"/>
            <w:vAlign w:val="center"/>
          </w:tcPr>
          <w:p w:rsidR="00D10138" w:rsidRDefault="000D1330" w:rsidP="000D1330">
            <w:pPr>
              <w:jc w:val="center"/>
              <w:rPr>
                <w:rFonts w:ascii="Georgia" w:hAnsi="Georgia"/>
                <w:b/>
                <w:sz w:val="24"/>
              </w:rPr>
            </w:pPr>
            <w:r w:rsidRPr="00D10138">
              <w:rPr>
                <w:rFonts w:ascii="Georgia" w:hAnsi="Georgia"/>
                <w:b/>
                <w:sz w:val="26"/>
                <w:szCs w:val="26"/>
              </w:rPr>
              <w:t>LE-TBI</w:t>
            </w:r>
            <w:r w:rsidRPr="00D10138">
              <w:rPr>
                <w:rFonts w:ascii="Georgia" w:hAnsi="Georgia"/>
                <w:b/>
                <w:sz w:val="24"/>
              </w:rPr>
              <w:t xml:space="preserve"> </w:t>
            </w:r>
          </w:p>
          <w:p w:rsidR="000D1330" w:rsidRPr="00D10138" w:rsidRDefault="000D1330" w:rsidP="000D1330">
            <w:pPr>
              <w:jc w:val="center"/>
              <w:rPr>
                <w:rFonts w:ascii="Georgia" w:hAnsi="Georgia"/>
                <w:b/>
              </w:rPr>
            </w:pPr>
            <w:r w:rsidRPr="00D10138">
              <w:rPr>
                <w:rFonts w:ascii="Georgia" w:hAnsi="Georgia"/>
                <w:i/>
              </w:rPr>
              <w:t>(NIH funded)</w:t>
            </w:r>
          </w:p>
        </w:tc>
      </w:tr>
      <w:tr w:rsidR="000D1330" w:rsidRPr="00D10138" w:rsidTr="000D1330">
        <w:trPr>
          <w:trHeight w:val="550"/>
          <w:jc w:val="center"/>
        </w:trPr>
        <w:tc>
          <w:tcPr>
            <w:tcW w:w="4480" w:type="dxa"/>
            <w:vAlign w:val="center"/>
          </w:tcPr>
          <w:p w:rsidR="000D1330" w:rsidRPr="00D10138" w:rsidRDefault="000D1330" w:rsidP="008C6904">
            <w:pPr>
              <w:rPr>
                <w:rFonts w:ascii="Georgia" w:hAnsi="Georgia"/>
              </w:rPr>
            </w:pPr>
            <w:r w:rsidRPr="00D10138">
              <w:rPr>
                <w:rFonts w:ascii="Georgia" w:hAnsi="Georgia"/>
              </w:rPr>
              <w:t>Age 40 or older at time of injury</w:t>
            </w:r>
          </w:p>
        </w:tc>
        <w:tc>
          <w:tcPr>
            <w:tcW w:w="4480" w:type="dxa"/>
            <w:vAlign w:val="center"/>
          </w:tcPr>
          <w:p w:rsidR="000D1330" w:rsidRPr="00D10138" w:rsidRDefault="000D1330" w:rsidP="00E510C1">
            <w:pPr>
              <w:rPr>
                <w:rFonts w:ascii="Georgia" w:hAnsi="Georgia"/>
              </w:rPr>
            </w:pPr>
            <w:r w:rsidRPr="00D10138">
              <w:rPr>
                <w:rFonts w:ascii="Georgia" w:hAnsi="Georgia"/>
              </w:rPr>
              <w:t xml:space="preserve">Age 40 or older at </w:t>
            </w:r>
            <w:r w:rsidR="00E510C1">
              <w:rPr>
                <w:rFonts w:ascii="Georgia" w:hAnsi="Georgia"/>
              </w:rPr>
              <w:t>the present time</w:t>
            </w:r>
          </w:p>
        </w:tc>
      </w:tr>
      <w:tr w:rsidR="000D1330" w:rsidRPr="00D10138" w:rsidTr="00D10138">
        <w:trPr>
          <w:trHeight w:val="2501"/>
          <w:jc w:val="center"/>
        </w:trPr>
        <w:tc>
          <w:tcPr>
            <w:tcW w:w="4480" w:type="dxa"/>
          </w:tcPr>
          <w:p w:rsidR="00D10138" w:rsidRDefault="00D10138" w:rsidP="008C6904">
            <w:pPr>
              <w:rPr>
                <w:rFonts w:ascii="Georgia" w:hAnsi="Georgia"/>
                <w:b/>
              </w:rPr>
            </w:pPr>
          </w:p>
          <w:p w:rsidR="000D1330" w:rsidRPr="00D10138" w:rsidRDefault="000D1330" w:rsidP="008C6904">
            <w:pPr>
              <w:rPr>
                <w:rFonts w:ascii="Georgia" w:hAnsi="Georgia"/>
                <w:b/>
              </w:rPr>
            </w:pPr>
            <w:r w:rsidRPr="00D10138">
              <w:rPr>
                <w:rFonts w:ascii="Georgia" w:hAnsi="Georgia"/>
                <w:b/>
              </w:rPr>
              <w:t>At least one of the following criteria for moderate-to-severe TBI:</w:t>
            </w:r>
          </w:p>
          <w:p w:rsidR="000D1330" w:rsidRPr="00D10138" w:rsidRDefault="000D1330" w:rsidP="008C690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D10138">
              <w:rPr>
                <w:rFonts w:ascii="Georgia" w:hAnsi="Georgia"/>
              </w:rPr>
              <w:t>PTA &gt; 24 hours</w:t>
            </w:r>
          </w:p>
          <w:p w:rsidR="000D1330" w:rsidRPr="00D10138" w:rsidRDefault="000D1330" w:rsidP="008C690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D10138">
              <w:rPr>
                <w:rFonts w:ascii="Georgia" w:hAnsi="Georgia"/>
              </w:rPr>
              <w:t>Trauma related intracranial neuroimaging abnormalities</w:t>
            </w:r>
          </w:p>
          <w:p w:rsidR="000D1330" w:rsidRPr="00D10138" w:rsidRDefault="000D1330" w:rsidP="008C690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D10138">
              <w:rPr>
                <w:rFonts w:ascii="Georgia" w:hAnsi="Georgia"/>
              </w:rPr>
              <w:t>LOC &gt;30 minutes (unless due to sedation or intoxication)</w:t>
            </w:r>
          </w:p>
          <w:p w:rsidR="000D1330" w:rsidRPr="00D10138" w:rsidRDefault="000D1330" w:rsidP="008C690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</w:rPr>
            </w:pPr>
            <w:r w:rsidRPr="00D10138">
              <w:rPr>
                <w:rFonts w:ascii="Georgia" w:hAnsi="Georgia"/>
              </w:rPr>
              <w:t>GCS in the ED of &lt;13 (unless due to intubation, sedations, or intoxication)</w:t>
            </w:r>
          </w:p>
        </w:tc>
        <w:tc>
          <w:tcPr>
            <w:tcW w:w="4480" w:type="dxa"/>
          </w:tcPr>
          <w:p w:rsidR="00D10138" w:rsidRDefault="00D10138" w:rsidP="008C6904">
            <w:pPr>
              <w:rPr>
                <w:rFonts w:ascii="Georgia" w:hAnsi="Georgia"/>
                <w:b/>
              </w:rPr>
            </w:pPr>
          </w:p>
          <w:p w:rsidR="000D1330" w:rsidRPr="00D10138" w:rsidRDefault="000D1330" w:rsidP="008C6904">
            <w:pPr>
              <w:rPr>
                <w:rFonts w:ascii="Georgia" w:hAnsi="Georgia"/>
                <w:b/>
              </w:rPr>
            </w:pPr>
            <w:r w:rsidRPr="00D10138">
              <w:rPr>
                <w:rFonts w:ascii="Georgia" w:hAnsi="Georgia"/>
                <w:b/>
              </w:rPr>
              <w:t>Moderate-Severe or complicated mild TBI with hospitalization or medical documentation</w:t>
            </w:r>
          </w:p>
        </w:tc>
      </w:tr>
      <w:tr w:rsidR="000D1330" w:rsidRPr="00D10138" w:rsidTr="00D10138">
        <w:trPr>
          <w:trHeight w:val="800"/>
          <w:jc w:val="center"/>
        </w:trPr>
        <w:tc>
          <w:tcPr>
            <w:tcW w:w="4480" w:type="dxa"/>
            <w:vAlign w:val="center"/>
          </w:tcPr>
          <w:p w:rsidR="000D1330" w:rsidRPr="00D10138" w:rsidRDefault="000D1330" w:rsidP="000D1330">
            <w:pPr>
              <w:rPr>
                <w:rFonts w:ascii="Georgia" w:hAnsi="Georgia"/>
              </w:rPr>
            </w:pPr>
            <w:r w:rsidRPr="00D10138">
              <w:rPr>
                <w:rFonts w:ascii="Georgia" w:hAnsi="Georgia"/>
              </w:rPr>
              <w:t>Received TBI rehab at MSSM or other rehab facility</w:t>
            </w:r>
          </w:p>
        </w:tc>
        <w:tc>
          <w:tcPr>
            <w:tcW w:w="4480" w:type="dxa"/>
            <w:vAlign w:val="center"/>
          </w:tcPr>
          <w:p w:rsidR="000D1330" w:rsidRPr="00D10138" w:rsidRDefault="000D1330" w:rsidP="008C6904">
            <w:pPr>
              <w:pStyle w:val="ColorfulList-Accent111"/>
              <w:spacing w:after="60"/>
              <w:ind w:left="0"/>
              <w:rPr>
                <w:rFonts w:ascii="Georgia" w:hAnsi="Georgia"/>
                <w:szCs w:val="22"/>
              </w:rPr>
            </w:pPr>
            <w:r w:rsidRPr="00D10138">
              <w:rPr>
                <w:rFonts w:ascii="Georgia" w:hAnsi="Georgia"/>
                <w:szCs w:val="22"/>
              </w:rPr>
              <w:t xml:space="preserve">Must agree to brain donation  </w:t>
            </w:r>
          </w:p>
        </w:tc>
      </w:tr>
      <w:tr w:rsidR="000D1330" w:rsidRPr="00D10138" w:rsidTr="000D1330">
        <w:trPr>
          <w:trHeight w:val="980"/>
          <w:jc w:val="center"/>
        </w:trPr>
        <w:tc>
          <w:tcPr>
            <w:tcW w:w="4480" w:type="dxa"/>
            <w:vAlign w:val="center"/>
          </w:tcPr>
          <w:p w:rsidR="000D1330" w:rsidRPr="00D10138" w:rsidRDefault="000D1330" w:rsidP="008C6904">
            <w:pPr>
              <w:rPr>
                <w:rFonts w:ascii="Georgia" w:hAnsi="Georgia"/>
              </w:rPr>
            </w:pPr>
            <w:r w:rsidRPr="00D10138">
              <w:rPr>
                <w:rFonts w:ascii="Georgia" w:hAnsi="Georgia"/>
              </w:rPr>
              <w:t>No restrictions on which acute hospitals they come from</w:t>
            </w:r>
          </w:p>
        </w:tc>
        <w:tc>
          <w:tcPr>
            <w:tcW w:w="4480" w:type="dxa"/>
            <w:vAlign w:val="center"/>
          </w:tcPr>
          <w:p w:rsidR="000D1330" w:rsidRPr="00D10138" w:rsidRDefault="000D1330" w:rsidP="00D10138">
            <w:pPr>
              <w:pStyle w:val="ColorfulList-Accent111"/>
              <w:spacing w:after="60"/>
              <w:ind w:left="0"/>
              <w:rPr>
                <w:rFonts w:ascii="Georgia" w:hAnsi="Georgia"/>
                <w:szCs w:val="22"/>
              </w:rPr>
            </w:pPr>
            <w:r w:rsidRPr="00D10138">
              <w:rPr>
                <w:rFonts w:ascii="Georgia" w:hAnsi="Georgia"/>
                <w:szCs w:val="22"/>
              </w:rPr>
              <w:t>Ability to undergo brain MRI (</w:t>
            </w:r>
            <w:r w:rsidR="00D10138" w:rsidRPr="00D10138">
              <w:rPr>
                <w:rFonts w:ascii="Georgia" w:hAnsi="Georgia"/>
                <w:szCs w:val="22"/>
              </w:rPr>
              <w:t>unless has metal/implanted device or other MRI</w:t>
            </w:r>
            <w:r w:rsidRPr="00D10138">
              <w:rPr>
                <w:rFonts w:ascii="Georgia" w:hAnsi="Georgia"/>
                <w:szCs w:val="22"/>
              </w:rPr>
              <w:t xml:space="preserve"> contraindications) </w:t>
            </w:r>
          </w:p>
        </w:tc>
      </w:tr>
      <w:tr w:rsidR="000D1330" w:rsidRPr="00D10138" w:rsidTr="000D1330">
        <w:trPr>
          <w:trHeight w:val="1250"/>
          <w:jc w:val="center"/>
        </w:trPr>
        <w:tc>
          <w:tcPr>
            <w:tcW w:w="4480" w:type="dxa"/>
          </w:tcPr>
          <w:p w:rsidR="000D1330" w:rsidRPr="00D10138" w:rsidRDefault="000D1330" w:rsidP="008C6904">
            <w:pPr>
              <w:ind w:left="72"/>
              <w:rPr>
                <w:rFonts w:ascii="Georgia" w:hAnsi="Georgia"/>
                <w:szCs w:val="24"/>
              </w:rPr>
            </w:pPr>
          </w:p>
          <w:p w:rsidR="000D1330" w:rsidRPr="00D10138" w:rsidRDefault="000D1330" w:rsidP="008C6904">
            <w:pPr>
              <w:ind w:left="72"/>
              <w:rPr>
                <w:rFonts w:ascii="Georgia" w:hAnsi="Georgia"/>
              </w:rPr>
            </w:pPr>
            <w:r w:rsidRPr="00D10138">
              <w:rPr>
                <w:rFonts w:ascii="Georgia" w:hAnsi="Georgia"/>
                <w:szCs w:val="24"/>
              </w:rPr>
              <w:t>Participants or their proxy/authorized agent must be able to provide informed consent in English</w:t>
            </w:r>
          </w:p>
        </w:tc>
        <w:tc>
          <w:tcPr>
            <w:tcW w:w="4480" w:type="dxa"/>
          </w:tcPr>
          <w:p w:rsidR="000D1330" w:rsidRPr="00D10138" w:rsidRDefault="000D1330" w:rsidP="008C6904">
            <w:pPr>
              <w:rPr>
                <w:rFonts w:ascii="Georgia" w:hAnsi="Georgia"/>
                <w:szCs w:val="24"/>
              </w:rPr>
            </w:pPr>
          </w:p>
          <w:p w:rsidR="000D1330" w:rsidRPr="00D10138" w:rsidRDefault="000D1330" w:rsidP="008C6904">
            <w:pPr>
              <w:rPr>
                <w:rFonts w:ascii="Georgia" w:hAnsi="Georgia"/>
                <w:b/>
              </w:rPr>
            </w:pPr>
            <w:r w:rsidRPr="00D10138">
              <w:rPr>
                <w:rFonts w:ascii="Georgia" w:hAnsi="Georgia"/>
                <w:szCs w:val="24"/>
              </w:rPr>
              <w:t>Participants or their proxy/authorized agent must be able to provide informed consent in English</w:t>
            </w:r>
          </w:p>
        </w:tc>
      </w:tr>
      <w:tr w:rsidR="000D1330" w:rsidRPr="00D10138" w:rsidTr="000D1330">
        <w:trPr>
          <w:trHeight w:val="1250"/>
          <w:jc w:val="center"/>
        </w:trPr>
        <w:tc>
          <w:tcPr>
            <w:tcW w:w="4480" w:type="dxa"/>
            <w:shd w:val="clear" w:color="auto" w:fill="D9D9D9" w:themeFill="background1" w:themeFillShade="D9"/>
          </w:tcPr>
          <w:p w:rsidR="00D10138" w:rsidRDefault="00D10138" w:rsidP="008C6904">
            <w:pPr>
              <w:ind w:left="72"/>
              <w:rPr>
                <w:rFonts w:ascii="Georgia" w:hAnsi="Georgia"/>
                <w:b/>
                <w:i/>
                <w:szCs w:val="24"/>
              </w:rPr>
            </w:pPr>
          </w:p>
          <w:p w:rsidR="000D1330" w:rsidRPr="00D10138" w:rsidRDefault="000D1330" w:rsidP="008C6904">
            <w:pPr>
              <w:ind w:left="72"/>
              <w:rPr>
                <w:rFonts w:ascii="Georgia" w:hAnsi="Georgia"/>
                <w:b/>
                <w:i/>
                <w:szCs w:val="24"/>
              </w:rPr>
            </w:pPr>
            <w:r w:rsidRPr="00D10138">
              <w:rPr>
                <w:rFonts w:ascii="Georgia" w:hAnsi="Georgia"/>
                <w:b/>
                <w:i/>
                <w:szCs w:val="24"/>
              </w:rPr>
              <w:t xml:space="preserve">What’s involved: </w:t>
            </w:r>
          </w:p>
          <w:p w:rsidR="00D10138" w:rsidRPr="00D10138" w:rsidRDefault="000D1330" w:rsidP="00D1013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Cs w:val="24"/>
              </w:rPr>
            </w:pPr>
            <w:r w:rsidRPr="00D10138">
              <w:rPr>
                <w:rFonts w:ascii="Georgia" w:hAnsi="Georgia"/>
                <w:szCs w:val="24"/>
              </w:rPr>
              <w:t>Participants and/or someone who knows them well compl</w:t>
            </w:r>
            <w:r w:rsidR="00D10138" w:rsidRPr="00D10138">
              <w:rPr>
                <w:rFonts w:ascii="Georgia" w:hAnsi="Georgia"/>
                <w:szCs w:val="24"/>
              </w:rPr>
              <w:t xml:space="preserve">ete a series of questionnaires </w:t>
            </w:r>
            <w:r w:rsidRPr="00D10138">
              <w:rPr>
                <w:rFonts w:ascii="Georgia" w:hAnsi="Georgia"/>
                <w:szCs w:val="24"/>
              </w:rPr>
              <w:t xml:space="preserve">about their health, mood, cognition, and functional abilities. </w:t>
            </w:r>
            <w:r w:rsidR="00D10138" w:rsidRPr="00D10138">
              <w:rPr>
                <w:rFonts w:ascii="Georgia" w:hAnsi="Georgia"/>
                <w:szCs w:val="24"/>
              </w:rPr>
              <w:t xml:space="preserve">This can be done </w:t>
            </w:r>
            <w:r w:rsidR="00D10138" w:rsidRPr="00D10138">
              <w:rPr>
                <w:rFonts w:ascii="Georgia" w:hAnsi="Georgia"/>
                <w:szCs w:val="24"/>
                <w:u w:val="single"/>
              </w:rPr>
              <w:t>either in person or over the telephone</w:t>
            </w:r>
            <w:r w:rsidR="00D10138" w:rsidRPr="00D10138">
              <w:rPr>
                <w:rFonts w:ascii="Georgia" w:hAnsi="Georgia"/>
                <w:szCs w:val="24"/>
              </w:rPr>
              <w:t xml:space="preserve"> (or mail),</w:t>
            </w:r>
          </w:p>
          <w:p w:rsidR="000D1330" w:rsidRDefault="00D10138" w:rsidP="00D1013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Cs w:val="24"/>
              </w:rPr>
            </w:pPr>
            <w:r w:rsidRPr="00D10138">
              <w:rPr>
                <w:rFonts w:ascii="Georgia" w:hAnsi="Georgia"/>
                <w:szCs w:val="24"/>
              </w:rPr>
              <w:t>Our study team will request medical records to document TBI and recent health care.</w:t>
            </w:r>
          </w:p>
          <w:p w:rsidR="00362BF8" w:rsidRPr="00D10138" w:rsidRDefault="00362BF8" w:rsidP="00E510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Participants agree to allow the researchers to contact their </w:t>
            </w:r>
            <w:r w:rsidR="00E510C1">
              <w:rPr>
                <w:rFonts w:ascii="Georgia" w:hAnsi="Georgia"/>
                <w:szCs w:val="24"/>
              </w:rPr>
              <w:t>family/significant other to ask a brief set of questions about their loved ones’ health</w:t>
            </w:r>
            <w:r>
              <w:rPr>
                <w:rFonts w:ascii="Georgia" w:hAnsi="Georgia"/>
                <w:szCs w:val="24"/>
              </w:rPr>
              <w:t xml:space="preserve"> in the unlikely event that </w:t>
            </w:r>
            <w:r w:rsidR="00E510C1">
              <w:rPr>
                <w:rFonts w:ascii="Georgia" w:hAnsi="Georgia"/>
                <w:szCs w:val="24"/>
              </w:rPr>
              <w:t>the participant</w:t>
            </w:r>
            <w:r>
              <w:rPr>
                <w:rFonts w:ascii="Georgia" w:hAnsi="Georgia"/>
                <w:szCs w:val="24"/>
              </w:rPr>
              <w:t xml:space="preserve"> die</w:t>
            </w:r>
            <w:r w:rsidR="00E510C1">
              <w:rPr>
                <w:rFonts w:ascii="Georgia" w:hAnsi="Georgia"/>
                <w:szCs w:val="24"/>
              </w:rPr>
              <w:t>s</w:t>
            </w:r>
            <w:r>
              <w:rPr>
                <w:rFonts w:ascii="Georgia" w:hAnsi="Georgia"/>
                <w:szCs w:val="24"/>
              </w:rPr>
              <w:t xml:space="preserve"> during the study.</w:t>
            </w:r>
          </w:p>
        </w:tc>
        <w:tc>
          <w:tcPr>
            <w:tcW w:w="4480" w:type="dxa"/>
            <w:shd w:val="clear" w:color="auto" w:fill="D9D9D9" w:themeFill="background1" w:themeFillShade="D9"/>
          </w:tcPr>
          <w:p w:rsidR="00D10138" w:rsidRDefault="00D10138" w:rsidP="000D1330">
            <w:pPr>
              <w:ind w:left="72"/>
              <w:rPr>
                <w:rFonts w:ascii="Georgia" w:hAnsi="Georgia"/>
                <w:b/>
                <w:i/>
                <w:szCs w:val="24"/>
              </w:rPr>
            </w:pPr>
          </w:p>
          <w:p w:rsidR="000D1330" w:rsidRPr="00D10138" w:rsidRDefault="000D1330" w:rsidP="000D1330">
            <w:pPr>
              <w:ind w:left="72"/>
              <w:rPr>
                <w:rFonts w:ascii="Georgia" w:hAnsi="Georgia"/>
                <w:b/>
                <w:i/>
                <w:szCs w:val="24"/>
              </w:rPr>
            </w:pPr>
            <w:r w:rsidRPr="00D10138">
              <w:rPr>
                <w:rFonts w:ascii="Georgia" w:hAnsi="Georgia"/>
                <w:b/>
                <w:i/>
                <w:szCs w:val="24"/>
              </w:rPr>
              <w:t xml:space="preserve">What’s involved: </w:t>
            </w:r>
          </w:p>
          <w:p w:rsidR="00D10138" w:rsidRPr="00D10138" w:rsidRDefault="000D1330" w:rsidP="00D1013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Cs w:val="24"/>
              </w:rPr>
            </w:pPr>
            <w:r w:rsidRPr="00D10138">
              <w:rPr>
                <w:rFonts w:ascii="Georgia" w:hAnsi="Georgia"/>
                <w:szCs w:val="24"/>
              </w:rPr>
              <w:t xml:space="preserve">Participants </w:t>
            </w:r>
            <w:r w:rsidR="00D10138" w:rsidRPr="00D10138">
              <w:rPr>
                <w:rFonts w:ascii="Georgia" w:hAnsi="Georgia"/>
                <w:szCs w:val="24"/>
              </w:rPr>
              <w:t xml:space="preserve">complete a blood draw and a 60-minute MRI scan </w:t>
            </w:r>
            <w:r w:rsidR="00D10138" w:rsidRPr="00D10138">
              <w:rPr>
                <w:rFonts w:ascii="Georgia" w:hAnsi="Georgia"/>
                <w:szCs w:val="24"/>
                <w:u w:val="single"/>
              </w:rPr>
              <w:t>at Mount Sinai</w:t>
            </w:r>
            <w:r w:rsidR="00D10138" w:rsidRPr="00D10138">
              <w:rPr>
                <w:rFonts w:ascii="Georgia" w:hAnsi="Georgia"/>
                <w:szCs w:val="24"/>
              </w:rPr>
              <w:t xml:space="preserve">. </w:t>
            </w:r>
          </w:p>
          <w:p w:rsidR="00D10138" w:rsidRPr="00D10138" w:rsidRDefault="00D10138" w:rsidP="00D1013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Cs w:val="24"/>
              </w:rPr>
            </w:pPr>
            <w:r w:rsidRPr="00D10138">
              <w:rPr>
                <w:rFonts w:ascii="Georgia" w:hAnsi="Georgia"/>
                <w:szCs w:val="24"/>
              </w:rPr>
              <w:t xml:space="preserve">Participants </w:t>
            </w:r>
            <w:r w:rsidR="000D1330" w:rsidRPr="00D10138">
              <w:rPr>
                <w:rFonts w:ascii="Georgia" w:hAnsi="Georgia"/>
                <w:szCs w:val="24"/>
              </w:rPr>
              <w:t xml:space="preserve">and/or someone who knows them well complete </w:t>
            </w:r>
            <w:r w:rsidRPr="00D10138">
              <w:rPr>
                <w:rFonts w:ascii="Georgia" w:hAnsi="Georgia"/>
                <w:szCs w:val="24"/>
              </w:rPr>
              <w:t xml:space="preserve">brief questionnaires about health &amp; </w:t>
            </w:r>
            <w:r w:rsidR="006E193F">
              <w:rPr>
                <w:rFonts w:ascii="Georgia" w:hAnsi="Georgia"/>
                <w:szCs w:val="24"/>
              </w:rPr>
              <w:t>functioning</w:t>
            </w:r>
            <w:r w:rsidRPr="00D10138">
              <w:rPr>
                <w:rFonts w:ascii="Georgia" w:hAnsi="Georgia"/>
                <w:szCs w:val="24"/>
              </w:rPr>
              <w:t xml:space="preserve">. This can be done </w:t>
            </w:r>
            <w:r w:rsidRPr="00D10138">
              <w:rPr>
                <w:rFonts w:ascii="Georgia" w:hAnsi="Georgia"/>
                <w:szCs w:val="24"/>
                <w:u w:val="single"/>
              </w:rPr>
              <w:t>either in person or over the telephone</w:t>
            </w:r>
            <w:r w:rsidRPr="00D10138">
              <w:rPr>
                <w:rFonts w:ascii="Georgia" w:hAnsi="Georgia"/>
                <w:szCs w:val="24"/>
              </w:rPr>
              <w:t xml:space="preserve"> (or mail).</w:t>
            </w:r>
          </w:p>
          <w:p w:rsidR="000D1330" w:rsidRDefault="00D10138" w:rsidP="00D1013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Cs w:val="24"/>
              </w:rPr>
            </w:pPr>
            <w:r w:rsidRPr="00D10138">
              <w:rPr>
                <w:rFonts w:ascii="Georgia" w:hAnsi="Georgia"/>
                <w:szCs w:val="24"/>
              </w:rPr>
              <w:t xml:space="preserve">Participants complete a brief battery of cognitive tests either at Mount Sinai or another convenient location. </w:t>
            </w:r>
          </w:p>
          <w:p w:rsidR="00D10138" w:rsidRPr="00D10138" w:rsidRDefault="00362BF8" w:rsidP="00D1013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</w:t>
            </w:r>
            <w:r w:rsidR="00D10138">
              <w:rPr>
                <w:rFonts w:ascii="Georgia" w:hAnsi="Georgia"/>
                <w:szCs w:val="24"/>
              </w:rPr>
              <w:t>he</w:t>
            </w:r>
            <w:r w:rsidR="006E193F">
              <w:rPr>
                <w:rFonts w:ascii="Georgia" w:hAnsi="Georgia"/>
                <w:szCs w:val="24"/>
              </w:rPr>
              <w:t xml:space="preserve"> participant agrees to the idea of brain donation</w:t>
            </w:r>
            <w:r>
              <w:rPr>
                <w:rFonts w:ascii="Georgia" w:hAnsi="Georgia"/>
                <w:szCs w:val="24"/>
              </w:rPr>
              <w:t xml:space="preserve"> and in the unlikely event the participant dies during the study, </w:t>
            </w:r>
            <w:r w:rsidR="006E193F">
              <w:rPr>
                <w:rFonts w:ascii="Georgia" w:hAnsi="Georgia"/>
                <w:szCs w:val="24"/>
              </w:rPr>
              <w:t xml:space="preserve">the </w:t>
            </w:r>
            <w:r w:rsidR="00D10138">
              <w:rPr>
                <w:rFonts w:ascii="Georgia" w:hAnsi="Georgia"/>
                <w:szCs w:val="24"/>
              </w:rPr>
              <w:t>family will be invited to consent to brai</w:t>
            </w:r>
            <w:r>
              <w:rPr>
                <w:rFonts w:ascii="Georgia" w:hAnsi="Georgia"/>
                <w:szCs w:val="24"/>
              </w:rPr>
              <w:t>n donation</w:t>
            </w:r>
            <w:r w:rsidR="006E193F">
              <w:rPr>
                <w:rFonts w:ascii="Georgia" w:hAnsi="Georgia"/>
                <w:szCs w:val="24"/>
              </w:rPr>
              <w:t xml:space="preserve"> (if applicable).  </w:t>
            </w:r>
          </w:p>
        </w:tc>
      </w:tr>
      <w:tr w:rsidR="000D1330" w:rsidRPr="00D10138" w:rsidTr="000D1330">
        <w:trPr>
          <w:trHeight w:val="296"/>
          <w:jc w:val="center"/>
        </w:trPr>
        <w:tc>
          <w:tcPr>
            <w:tcW w:w="4480" w:type="dxa"/>
          </w:tcPr>
          <w:p w:rsidR="000D1330" w:rsidRPr="00D10138" w:rsidRDefault="000D1330" w:rsidP="008C6904">
            <w:pPr>
              <w:ind w:left="72"/>
              <w:rPr>
                <w:rFonts w:ascii="Georgia" w:hAnsi="Georgia"/>
                <w:szCs w:val="24"/>
              </w:rPr>
            </w:pPr>
            <w:r w:rsidRPr="00D10138">
              <w:rPr>
                <w:rFonts w:ascii="Georgia" w:hAnsi="Georgia"/>
                <w:szCs w:val="24"/>
              </w:rPr>
              <w:t xml:space="preserve">Compensation: </w:t>
            </w:r>
            <w:r w:rsidR="00362BF8">
              <w:rPr>
                <w:rFonts w:ascii="Georgia" w:hAnsi="Georgia"/>
                <w:szCs w:val="24"/>
              </w:rPr>
              <w:t xml:space="preserve">$10 </w:t>
            </w:r>
          </w:p>
        </w:tc>
        <w:tc>
          <w:tcPr>
            <w:tcW w:w="4480" w:type="dxa"/>
          </w:tcPr>
          <w:p w:rsidR="000D1330" w:rsidRPr="00D10138" w:rsidRDefault="00E510C1" w:rsidP="00E510C1">
            <w:pPr>
              <w:rPr>
                <w:rFonts w:ascii="Georgia" w:hAnsi="Georgia"/>
                <w:szCs w:val="24"/>
              </w:rPr>
            </w:pPr>
            <w:r w:rsidRPr="00D10138">
              <w:rPr>
                <w:rFonts w:ascii="Georgia" w:hAnsi="Georgia"/>
                <w:szCs w:val="24"/>
              </w:rPr>
              <w:t>Compensation</w:t>
            </w:r>
            <w:r>
              <w:rPr>
                <w:rFonts w:ascii="Georgia" w:hAnsi="Georgia"/>
                <w:szCs w:val="24"/>
              </w:rPr>
              <w:t xml:space="preserve">: </w:t>
            </w:r>
            <w:r w:rsidR="006E193F">
              <w:rPr>
                <w:rFonts w:ascii="Georgia" w:hAnsi="Georgia"/>
                <w:szCs w:val="24"/>
              </w:rPr>
              <w:t>$50</w:t>
            </w:r>
            <w:r>
              <w:rPr>
                <w:rFonts w:ascii="Georgia" w:hAnsi="Georgia"/>
                <w:szCs w:val="24"/>
              </w:rPr>
              <w:t>,</w:t>
            </w:r>
            <w:r w:rsidR="006E193F">
              <w:rPr>
                <w:rFonts w:ascii="Georgia" w:hAnsi="Georgia"/>
                <w:szCs w:val="24"/>
              </w:rPr>
              <w:t xml:space="preserve"> </w:t>
            </w:r>
            <w:r w:rsidR="00362BF8">
              <w:rPr>
                <w:rFonts w:ascii="Georgia" w:hAnsi="Georgia"/>
                <w:szCs w:val="24"/>
              </w:rPr>
              <w:t>plus</w:t>
            </w:r>
            <w:r w:rsidR="006E193F">
              <w:rPr>
                <w:rFonts w:ascii="Georgia" w:hAnsi="Georgia"/>
                <w:szCs w:val="24"/>
              </w:rPr>
              <w:t xml:space="preserve"> transportation reimbursement (receipts must be provided)</w:t>
            </w:r>
          </w:p>
        </w:tc>
      </w:tr>
    </w:tbl>
    <w:p w:rsidR="00C2405E" w:rsidRPr="00490D4E" w:rsidRDefault="00C2405E" w:rsidP="00490D4E">
      <w:pPr>
        <w:tabs>
          <w:tab w:val="left" w:pos="1875"/>
        </w:tabs>
      </w:pPr>
    </w:p>
    <w:sectPr w:rsidR="00C2405E" w:rsidRPr="00490D4E" w:rsidSect="00D1013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07" w:rsidRDefault="000F3E07" w:rsidP="00616D70">
      <w:pPr>
        <w:spacing w:after="0" w:line="240" w:lineRule="auto"/>
      </w:pPr>
      <w:r>
        <w:separator/>
      </w:r>
    </w:p>
  </w:endnote>
  <w:endnote w:type="continuationSeparator" w:id="0">
    <w:p w:rsidR="000F3E07" w:rsidRDefault="000F3E07" w:rsidP="0061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70" w:rsidRPr="00D10138" w:rsidRDefault="00616D70" w:rsidP="00616D70">
    <w:pPr>
      <w:pStyle w:val="Footer"/>
      <w:jc w:val="center"/>
      <w:rPr>
        <w:rFonts w:ascii="Georgia" w:hAnsi="Georgia"/>
      </w:rPr>
    </w:pPr>
    <w:r w:rsidRPr="00D10138">
      <w:rPr>
        <w:rFonts w:ascii="Georgia" w:hAnsi="Georgia"/>
      </w:rPr>
      <w:t xml:space="preserve">Brain Injury Research </w:t>
    </w:r>
    <w:proofErr w:type="gramStart"/>
    <w:r w:rsidRPr="00D10138">
      <w:rPr>
        <w:rFonts w:ascii="Georgia" w:hAnsi="Georgia"/>
      </w:rPr>
      <w:t>Center  |</w:t>
    </w:r>
    <w:proofErr w:type="gramEnd"/>
    <w:r w:rsidRPr="00D10138">
      <w:rPr>
        <w:rFonts w:ascii="Georgia" w:hAnsi="Georgia"/>
      </w:rPr>
      <w:t xml:space="preserve">  5 E. 98</w:t>
    </w:r>
    <w:r w:rsidRPr="00D10138">
      <w:rPr>
        <w:rFonts w:ascii="Georgia" w:hAnsi="Georgia"/>
        <w:vertAlign w:val="superscript"/>
      </w:rPr>
      <w:t>th</w:t>
    </w:r>
    <w:r w:rsidRPr="00D10138">
      <w:rPr>
        <w:rFonts w:ascii="Georgia" w:hAnsi="Georgia"/>
      </w:rPr>
      <w:t xml:space="preserve"> Street, Rm B15  |  p. 212-241-5152  |  f. 212-241-0137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07" w:rsidRDefault="000F3E07" w:rsidP="00616D70">
      <w:pPr>
        <w:spacing w:after="0" w:line="240" w:lineRule="auto"/>
      </w:pPr>
      <w:r>
        <w:separator/>
      </w:r>
    </w:p>
  </w:footnote>
  <w:footnote w:type="continuationSeparator" w:id="0">
    <w:p w:rsidR="000F3E07" w:rsidRDefault="000F3E07" w:rsidP="0061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70" w:rsidRPr="00D10138" w:rsidRDefault="00616D70" w:rsidP="00616D70">
    <w:pPr>
      <w:pStyle w:val="Header"/>
      <w:jc w:val="center"/>
      <w:rPr>
        <w:rFonts w:ascii="Georgia" w:hAnsi="Georgia"/>
        <w:sz w:val="28"/>
      </w:rPr>
    </w:pPr>
    <w:r w:rsidRPr="00D10138">
      <w:rPr>
        <w:rFonts w:ascii="Georgia" w:hAnsi="Georgia"/>
        <w:sz w:val="28"/>
      </w:rPr>
      <w:t xml:space="preserve">BIRC Studies Inclusion/Exclusion Criteria </w:t>
    </w:r>
  </w:p>
  <w:p w:rsidR="00616D70" w:rsidRPr="00616D70" w:rsidRDefault="00616D70" w:rsidP="00616D70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74D"/>
    <w:multiLevelType w:val="hybridMultilevel"/>
    <w:tmpl w:val="33CA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46F7E"/>
    <w:multiLevelType w:val="multilevel"/>
    <w:tmpl w:val="0B3A12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5E"/>
    <w:rsid w:val="00016DEA"/>
    <w:rsid w:val="000D1330"/>
    <w:rsid w:val="000F3E07"/>
    <w:rsid w:val="00137809"/>
    <w:rsid w:val="002C728C"/>
    <w:rsid w:val="00362BF8"/>
    <w:rsid w:val="00384213"/>
    <w:rsid w:val="00490D4E"/>
    <w:rsid w:val="004E3D3C"/>
    <w:rsid w:val="0059134B"/>
    <w:rsid w:val="00616D70"/>
    <w:rsid w:val="00644A09"/>
    <w:rsid w:val="006E193F"/>
    <w:rsid w:val="008C6904"/>
    <w:rsid w:val="00AD0F8D"/>
    <w:rsid w:val="00AD2C8D"/>
    <w:rsid w:val="00C2405E"/>
    <w:rsid w:val="00D10138"/>
    <w:rsid w:val="00E5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5E"/>
  </w:style>
  <w:style w:type="paragraph" w:styleId="Heading1">
    <w:name w:val="heading 1"/>
    <w:basedOn w:val="Normal"/>
    <w:next w:val="Normal"/>
    <w:link w:val="Heading1Char"/>
    <w:uiPriority w:val="9"/>
    <w:qFormat/>
    <w:rsid w:val="00AD2C8D"/>
    <w:pPr>
      <w:keepNext/>
      <w:framePr w:hSpace="180" w:wrap="around" w:vAnchor="text" w:hAnchor="margin" w:y="168"/>
      <w:spacing w:after="0" w:line="240" w:lineRule="auto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0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2C8D"/>
    <w:rPr>
      <w:b/>
      <w:sz w:val="26"/>
      <w:szCs w:val="26"/>
    </w:rPr>
  </w:style>
  <w:style w:type="paragraph" w:styleId="BlockText">
    <w:name w:val="Block Text"/>
    <w:basedOn w:val="Normal"/>
    <w:link w:val="BlockTextChar"/>
    <w:rsid w:val="00AD2C8D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lockTextChar">
    <w:name w:val="Block Text Char"/>
    <w:link w:val="BlockText"/>
    <w:rsid w:val="00AD2C8D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ColorfulList-Accent111">
    <w:name w:val="Colorful List - Accent 111"/>
    <w:basedOn w:val="Normal"/>
    <w:rsid w:val="00616D70"/>
    <w:pPr>
      <w:spacing w:after="0" w:line="240" w:lineRule="auto"/>
      <w:ind w:left="720"/>
    </w:pPr>
    <w:rPr>
      <w:rFonts w:ascii="Times New Roman" w:eastAsia="MS Mincho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1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70"/>
  </w:style>
  <w:style w:type="paragraph" w:styleId="Footer">
    <w:name w:val="footer"/>
    <w:basedOn w:val="Normal"/>
    <w:link w:val="FooterChar"/>
    <w:uiPriority w:val="99"/>
    <w:unhideWhenUsed/>
    <w:rsid w:val="0061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5E"/>
  </w:style>
  <w:style w:type="paragraph" w:styleId="Heading1">
    <w:name w:val="heading 1"/>
    <w:basedOn w:val="Normal"/>
    <w:next w:val="Normal"/>
    <w:link w:val="Heading1Char"/>
    <w:uiPriority w:val="9"/>
    <w:qFormat/>
    <w:rsid w:val="00AD2C8D"/>
    <w:pPr>
      <w:keepNext/>
      <w:framePr w:hSpace="180" w:wrap="around" w:vAnchor="text" w:hAnchor="margin" w:y="168"/>
      <w:spacing w:after="0" w:line="240" w:lineRule="auto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0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2C8D"/>
    <w:rPr>
      <w:b/>
      <w:sz w:val="26"/>
      <w:szCs w:val="26"/>
    </w:rPr>
  </w:style>
  <w:style w:type="paragraph" w:styleId="BlockText">
    <w:name w:val="Block Text"/>
    <w:basedOn w:val="Normal"/>
    <w:link w:val="BlockTextChar"/>
    <w:rsid w:val="00AD2C8D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lockTextChar">
    <w:name w:val="Block Text Char"/>
    <w:link w:val="BlockText"/>
    <w:rsid w:val="00AD2C8D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ColorfulList-Accent111">
    <w:name w:val="Colorful List - Accent 111"/>
    <w:basedOn w:val="Normal"/>
    <w:rsid w:val="00616D70"/>
    <w:pPr>
      <w:spacing w:after="0" w:line="240" w:lineRule="auto"/>
      <w:ind w:left="720"/>
    </w:pPr>
    <w:rPr>
      <w:rFonts w:ascii="Times New Roman" w:eastAsia="MS Mincho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1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70"/>
  </w:style>
  <w:style w:type="paragraph" w:styleId="Footer">
    <w:name w:val="footer"/>
    <w:basedOn w:val="Normal"/>
    <w:link w:val="FooterChar"/>
    <w:uiPriority w:val="99"/>
    <w:unhideWhenUsed/>
    <w:rsid w:val="0061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Flannery, Elissa</dc:creator>
  <cp:lastModifiedBy>Jodi Repperger</cp:lastModifiedBy>
  <cp:revision>2</cp:revision>
  <dcterms:created xsi:type="dcterms:W3CDTF">2016-03-01T15:25:00Z</dcterms:created>
  <dcterms:modified xsi:type="dcterms:W3CDTF">2016-03-01T15:25:00Z</dcterms:modified>
</cp:coreProperties>
</file>